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D32B" w14:textId="64ACAE4A" w:rsidR="00F309B8" w:rsidRDefault="00F309B8" w:rsidP="00F309B8">
      <w:pPr>
        <w:pStyle w:val="Heading1"/>
        <w:jc w:val="center"/>
      </w:pPr>
      <w:r>
        <w:t>Scholarly Teaching Taxonomy</w:t>
      </w:r>
    </w:p>
    <w:p w14:paraId="4FA7497D" w14:textId="77777777" w:rsidR="00F309B8" w:rsidRDefault="00F309B8"/>
    <w:tbl>
      <w:tblPr>
        <w:tblStyle w:val="TableGridLight"/>
        <w:tblW w:w="11178" w:type="dxa"/>
        <w:tblLayout w:type="fixed"/>
        <w:tblLook w:val="0620" w:firstRow="1" w:lastRow="0" w:firstColumn="0" w:lastColumn="0" w:noHBand="1" w:noVBand="1"/>
      </w:tblPr>
      <w:tblGrid>
        <w:gridCol w:w="2496"/>
        <w:gridCol w:w="2701"/>
        <w:gridCol w:w="2921"/>
        <w:gridCol w:w="3060"/>
      </w:tblGrid>
      <w:tr w:rsidR="004041B3" w14:paraId="7C5A4A89" w14:textId="77777777" w:rsidTr="00B3296A">
        <w:trPr>
          <w:trHeight w:val="350"/>
        </w:trPr>
        <w:tc>
          <w:tcPr>
            <w:tcW w:w="2496" w:type="dxa"/>
          </w:tcPr>
          <w:p w14:paraId="5199EBD4" w14:textId="77777777" w:rsidR="004041B3" w:rsidRPr="00B3296A" w:rsidRDefault="00000000">
            <w:pPr>
              <w:pStyle w:val="TableParagraph"/>
              <w:spacing w:before="56"/>
              <w:ind w:left="640" w:right="0"/>
              <w:rPr>
                <w:rFonts w:ascii="Bookman Old Style"/>
                <w:b/>
                <w:bCs/>
                <w:sz w:val="20"/>
              </w:rPr>
            </w:pPr>
            <w:r w:rsidRPr="00B3296A">
              <w:rPr>
                <w:rFonts w:ascii="Bookman Old Style"/>
                <w:b/>
                <w:bCs/>
                <w:spacing w:val="-2"/>
                <w:sz w:val="20"/>
              </w:rPr>
              <w:t>DIMENSION</w:t>
            </w:r>
          </w:p>
        </w:tc>
        <w:tc>
          <w:tcPr>
            <w:tcW w:w="2701" w:type="dxa"/>
          </w:tcPr>
          <w:p w14:paraId="18F90A4C" w14:textId="77777777" w:rsidR="004041B3" w:rsidRPr="00B3296A" w:rsidRDefault="00000000">
            <w:pPr>
              <w:pStyle w:val="TableParagraph"/>
              <w:spacing w:before="56"/>
              <w:ind w:left="939" w:right="0"/>
              <w:rPr>
                <w:rFonts w:ascii="Bookman Old Style"/>
                <w:b/>
                <w:bCs/>
                <w:sz w:val="20"/>
              </w:rPr>
            </w:pPr>
            <w:r w:rsidRPr="00B3296A">
              <w:rPr>
                <w:rFonts w:ascii="Bookman Old Style"/>
                <w:b/>
                <w:bCs/>
                <w:sz w:val="20"/>
              </w:rPr>
              <w:t>LEVEL</w:t>
            </w:r>
            <w:r w:rsidRPr="00B3296A">
              <w:rPr>
                <w:rFonts w:ascii="Bookman Old Style"/>
                <w:b/>
                <w:bCs/>
                <w:spacing w:val="-9"/>
                <w:sz w:val="20"/>
              </w:rPr>
              <w:t xml:space="preserve"> </w:t>
            </w:r>
            <w:r w:rsidRPr="00B3296A">
              <w:rPr>
                <w:rFonts w:ascii="Bookman Old Style"/>
                <w:b/>
                <w:bCs/>
                <w:spacing w:val="-10"/>
                <w:sz w:val="20"/>
              </w:rPr>
              <w:t>1</w:t>
            </w:r>
          </w:p>
        </w:tc>
        <w:tc>
          <w:tcPr>
            <w:tcW w:w="2921" w:type="dxa"/>
          </w:tcPr>
          <w:p w14:paraId="250CB6C4" w14:textId="77777777" w:rsidR="004041B3" w:rsidRPr="00B3296A" w:rsidRDefault="00000000">
            <w:pPr>
              <w:pStyle w:val="TableParagraph"/>
              <w:spacing w:before="56"/>
              <w:ind w:left="927" w:right="886"/>
              <w:jc w:val="center"/>
              <w:rPr>
                <w:rFonts w:ascii="Bookman Old Style"/>
                <w:b/>
                <w:bCs/>
                <w:sz w:val="20"/>
              </w:rPr>
            </w:pPr>
            <w:r w:rsidRPr="00B3296A">
              <w:rPr>
                <w:rFonts w:ascii="Bookman Old Style"/>
                <w:b/>
                <w:bCs/>
                <w:sz w:val="20"/>
              </w:rPr>
              <w:t>LEVEL</w:t>
            </w:r>
            <w:r w:rsidRPr="00B3296A">
              <w:rPr>
                <w:rFonts w:ascii="Bookman Old Style"/>
                <w:b/>
                <w:bCs/>
                <w:spacing w:val="-9"/>
                <w:sz w:val="20"/>
              </w:rPr>
              <w:t xml:space="preserve"> </w:t>
            </w:r>
            <w:r w:rsidRPr="00B3296A">
              <w:rPr>
                <w:rFonts w:ascii="Bookman Old Style"/>
                <w:b/>
                <w:bCs/>
                <w:spacing w:val="-10"/>
                <w:sz w:val="20"/>
              </w:rPr>
              <w:t>2</w:t>
            </w:r>
          </w:p>
        </w:tc>
        <w:tc>
          <w:tcPr>
            <w:tcW w:w="3060" w:type="dxa"/>
          </w:tcPr>
          <w:p w14:paraId="73CC36AC" w14:textId="77777777" w:rsidR="004041B3" w:rsidRPr="00B3296A" w:rsidRDefault="00000000">
            <w:pPr>
              <w:pStyle w:val="TableParagraph"/>
              <w:spacing w:before="56"/>
              <w:ind w:left="972" w:right="915"/>
              <w:jc w:val="center"/>
              <w:rPr>
                <w:rFonts w:ascii="Bookman Old Style"/>
                <w:b/>
                <w:bCs/>
                <w:sz w:val="20"/>
              </w:rPr>
            </w:pPr>
            <w:r w:rsidRPr="00B3296A">
              <w:rPr>
                <w:rFonts w:ascii="Bookman Old Style"/>
                <w:b/>
                <w:bCs/>
                <w:sz w:val="20"/>
              </w:rPr>
              <w:t>LEVEL</w:t>
            </w:r>
            <w:r w:rsidRPr="00B3296A">
              <w:rPr>
                <w:rFonts w:ascii="Bookman Old Style"/>
                <w:b/>
                <w:bCs/>
                <w:spacing w:val="-9"/>
                <w:sz w:val="20"/>
              </w:rPr>
              <w:t xml:space="preserve"> </w:t>
            </w:r>
            <w:r w:rsidRPr="00B3296A">
              <w:rPr>
                <w:rFonts w:ascii="Bookman Old Style"/>
                <w:b/>
                <w:bCs/>
                <w:spacing w:val="-10"/>
                <w:sz w:val="20"/>
              </w:rPr>
              <w:t>3</w:t>
            </w:r>
          </w:p>
        </w:tc>
      </w:tr>
      <w:tr w:rsidR="004041B3" w14:paraId="7A98F85C" w14:textId="77777777" w:rsidTr="00B3296A">
        <w:trPr>
          <w:trHeight w:val="2464"/>
        </w:trPr>
        <w:tc>
          <w:tcPr>
            <w:tcW w:w="2496" w:type="dxa"/>
          </w:tcPr>
          <w:p w14:paraId="2EEA52E5" w14:textId="77777777" w:rsidR="004041B3" w:rsidRDefault="00000000">
            <w:pPr>
              <w:pStyle w:val="TableParagraph"/>
              <w:spacing w:before="0"/>
              <w:ind w:left="111" w:right="141"/>
              <w:rPr>
                <w:i/>
                <w:sz w:val="20"/>
              </w:rPr>
            </w:pPr>
            <w:r>
              <w:rPr>
                <w:b/>
              </w:rPr>
              <w:t>Evidence-Based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Practice </w:t>
            </w:r>
            <w:r>
              <w:rPr>
                <w:i/>
                <w:sz w:val="20"/>
              </w:rPr>
              <w:t>A scholarly teacher bases instructional decisions on significant and reliable evidence, research on teaching and learning, and well-reasoned theory.</w:t>
            </w:r>
          </w:p>
        </w:tc>
        <w:tc>
          <w:tcPr>
            <w:tcW w:w="2701" w:type="dxa"/>
          </w:tcPr>
          <w:p w14:paraId="6E7AEF09" w14:textId="77777777" w:rsidR="004041B3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Makes instructional choices based on research-supported knowledge about teaching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self-report, peer review and feedback, and/or online course reviews to document teaching.</w:t>
            </w:r>
          </w:p>
        </w:tc>
        <w:tc>
          <w:tcPr>
            <w:tcW w:w="2921" w:type="dxa"/>
          </w:tcPr>
          <w:p w14:paraId="7D310FEC" w14:textId="77777777" w:rsidR="004041B3" w:rsidRDefault="00000000">
            <w:pPr>
              <w:pStyle w:val="TableParagraph"/>
              <w:spacing w:before="0"/>
              <w:ind w:right="106"/>
              <w:rPr>
                <w:sz w:val="20"/>
              </w:rPr>
            </w:pPr>
            <w:r>
              <w:rPr>
                <w:sz w:val="20"/>
              </w:rPr>
              <w:t>Incorporates foundational research on teaching and learning to fit instructional contexts and student needs; collaborates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 the same. Uses self-report, peer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review,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learning, and student feedback to document teaching and inform philosophy.</w:t>
            </w:r>
          </w:p>
        </w:tc>
        <w:tc>
          <w:tcPr>
            <w:tcW w:w="3060" w:type="dxa"/>
          </w:tcPr>
          <w:p w14:paraId="5E3CC10D" w14:textId="77777777" w:rsidR="004041B3" w:rsidRDefault="00000000">
            <w:pPr>
              <w:pStyle w:val="TableParagraph"/>
              <w:spacing w:before="0"/>
              <w:ind w:left="131"/>
              <w:rPr>
                <w:sz w:val="20"/>
              </w:rPr>
            </w:pPr>
            <w:r>
              <w:rPr>
                <w:sz w:val="20"/>
              </w:rPr>
              <w:t>Creates, tailors, and refines teaching strategies based on systematic and documented assessments of student 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success.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Expertise is recognized by others.</w:t>
            </w:r>
          </w:p>
          <w:p w14:paraId="5BC6F45A" w14:textId="77777777" w:rsidR="004041B3" w:rsidRDefault="00000000">
            <w:pPr>
              <w:pStyle w:val="TableParagraph"/>
              <w:spacing w:before="0"/>
              <w:ind w:left="131"/>
              <w:rPr>
                <w:sz w:val="20"/>
              </w:rPr>
            </w:pPr>
            <w:r>
              <w:rPr>
                <w:sz w:val="20"/>
              </w:rPr>
              <w:t>Documents teaching and engagement through presentations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publications.</w:t>
            </w:r>
          </w:p>
        </w:tc>
      </w:tr>
      <w:tr w:rsidR="004041B3" w14:paraId="1AECADC8" w14:textId="77777777" w:rsidTr="00B3296A">
        <w:trPr>
          <w:trHeight w:val="2687"/>
        </w:trPr>
        <w:tc>
          <w:tcPr>
            <w:tcW w:w="2496" w:type="dxa"/>
          </w:tcPr>
          <w:p w14:paraId="597CCF31" w14:textId="77777777" w:rsidR="004041B3" w:rsidRDefault="00000000">
            <w:pPr>
              <w:pStyle w:val="TableParagraph"/>
              <w:ind w:left="111" w:right="0"/>
              <w:rPr>
                <w:b/>
              </w:rPr>
            </w:pPr>
            <w:r>
              <w:rPr>
                <w:b/>
              </w:rPr>
              <w:t>Reflective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242568B0" w14:textId="77777777" w:rsidR="004041B3" w:rsidRDefault="00000000">
            <w:pPr>
              <w:pStyle w:val="TableParagraph"/>
              <w:ind w:left="111"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scholarly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teacher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engages in a regular and purposeful process of inquiry to discover personal assumptions about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teaching and learning and the effects of same on teaching-related decisions.</w:t>
            </w:r>
          </w:p>
        </w:tc>
        <w:tc>
          <w:tcPr>
            <w:tcW w:w="2701" w:type="dxa"/>
          </w:tcPr>
          <w:p w14:paraId="4A2DF244" w14:textId="77777777" w:rsidR="004041B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Maintains curiosity and openness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observing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reflecting on teaching and learning from multiple viewpoints. Identifies assumptions and their origins about teaching and learning</w:t>
            </w:r>
            <w:r>
              <w:rPr>
                <w:spacing w:val="4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 order to</w:t>
            </w:r>
            <w:proofErr w:type="gramEnd"/>
            <w:r>
              <w:rPr>
                <w:sz w:val="20"/>
              </w:rPr>
              <w:t xml:space="preserve"> explore their accuracy and impact on teaching practices.</w:t>
            </w:r>
          </w:p>
        </w:tc>
        <w:tc>
          <w:tcPr>
            <w:tcW w:w="2921" w:type="dxa"/>
          </w:tcPr>
          <w:p w14:paraId="5FB3FBBC" w14:textId="77777777" w:rsidR="004041B3" w:rsidRDefault="00000000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Observes own and others’ teaching and student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Analyzes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drivers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 influence teaching practices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explores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assumptions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implications. Reconciles practices with teaching philosophy. Shares examples with students and colleagues.</w:t>
            </w:r>
          </w:p>
        </w:tc>
        <w:tc>
          <w:tcPr>
            <w:tcW w:w="3060" w:type="dxa"/>
          </w:tcPr>
          <w:p w14:paraId="16CD3DC1" w14:textId="77777777" w:rsidR="004041B3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Implements and disseminates innovative, effective approaches to reflective practice.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Facilitates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discussions about assumptions that underlie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at department, school, or discipline levels. Designs and/or directs processes </w:t>
            </w:r>
            <w:proofErr w:type="gramStart"/>
            <w:r>
              <w:rPr>
                <w:sz w:val="20"/>
              </w:rPr>
              <w:t>that</w:t>
            </w:r>
            <w:proofErr w:type="gramEnd"/>
          </w:p>
          <w:p w14:paraId="5AC6E283" w14:textId="77777777" w:rsidR="004041B3" w:rsidRDefault="00000000">
            <w:pPr>
              <w:pStyle w:val="TableParagraph"/>
              <w:spacing w:before="0" w:line="240" w:lineRule="atLeast"/>
              <w:ind w:left="131"/>
              <w:rPr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document </w:t>
            </w:r>
            <w:r>
              <w:rPr>
                <w:spacing w:val="-2"/>
                <w:sz w:val="20"/>
              </w:rPr>
              <w:t>teaching.</w:t>
            </w:r>
          </w:p>
        </w:tc>
      </w:tr>
      <w:tr w:rsidR="004041B3" w14:paraId="315BE997" w14:textId="77777777" w:rsidTr="00B3296A">
        <w:trPr>
          <w:trHeight w:val="2490"/>
        </w:trPr>
        <w:tc>
          <w:tcPr>
            <w:tcW w:w="2496" w:type="dxa"/>
          </w:tcPr>
          <w:p w14:paraId="04D3A49B" w14:textId="77777777" w:rsidR="004041B3" w:rsidRDefault="00000000">
            <w:pPr>
              <w:pStyle w:val="TableParagraph"/>
              <w:spacing w:before="0"/>
              <w:ind w:left="111" w:right="189"/>
              <w:rPr>
                <w:b/>
              </w:rPr>
            </w:pPr>
            <w:r>
              <w:rPr>
                <w:b/>
                <w:spacing w:val="-2"/>
              </w:rPr>
              <w:t>Curricular/Course Design</w:t>
            </w:r>
          </w:p>
          <w:p w14:paraId="3315E8A6" w14:textId="2798E8F1" w:rsidR="004041B3" w:rsidRDefault="00000000" w:rsidP="00B3296A">
            <w:pPr>
              <w:pStyle w:val="TableParagraph"/>
              <w:ind w:left="111" w:right="90"/>
              <w:rPr>
                <w:i/>
                <w:sz w:val="20"/>
              </w:rPr>
            </w:pPr>
            <w:r>
              <w:rPr>
                <w:i/>
                <w:sz w:val="20"/>
              </w:rPr>
              <w:t>A scholarly teacher selects, shapes, and designs course materials and teaching strategies in ways that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align course goals, student learning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outcomes,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learning activities, and assessment</w:t>
            </w:r>
            <w:r w:rsidR="00B3296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learning</w:t>
            </w:r>
          </w:p>
        </w:tc>
        <w:tc>
          <w:tcPr>
            <w:tcW w:w="2701" w:type="dxa"/>
          </w:tcPr>
          <w:p w14:paraId="6A8AFA6C" w14:textId="77777777" w:rsidR="004041B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Clearly communicates established course goals and student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students.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Aligns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goals, learning outcomes, learning activities, and assessment methods. Uses universal course design to guide decisions about teaching </w:t>
            </w:r>
            <w:r>
              <w:rPr>
                <w:spacing w:val="-2"/>
                <w:sz w:val="20"/>
              </w:rPr>
              <w:t>strategies.</w:t>
            </w:r>
          </w:p>
        </w:tc>
        <w:tc>
          <w:tcPr>
            <w:tcW w:w="2921" w:type="dxa"/>
          </w:tcPr>
          <w:p w14:paraId="70B6046E" w14:textId="77777777" w:rsidR="004041B3" w:rsidRDefault="00000000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Incorporates goals and outcomes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 sustained and thorough way. Aligns course goals and outcomes with other courses within a department or program or institution. Uses student performance and feedback to inform decisions about goals and outcomes.</w:t>
            </w:r>
          </w:p>
        </w:tc>
        <w:tc>
          <w:tcPr>
            <w:tcW w:w="3060" w:type="dxa"/>
          </w:tcPr>
          <w:p w14:paraId="11D4F231" w14:textId="77777777" w:rsidR="004041B3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Improves goals and outcomes through intentional study and experimentation. Articulates 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 dialogue with national standards and relevant scholarship. Many sources of input are central to the revision of course goals, outcomes, and assessment.</w:t>
            </w:r>
          </w:p>
        </w:tc>
      </w:tr>
      <w:tr w:rsidR="004041B3" w14:paraId="0C1ED53B" w14:textId="77777777" w:rsidTr="00B3296A">
        <w:trPr>
          <w:trHeight w:val="2685"/>
        </w:trPr>
        <w:tc>
          <w:tcPr>
            <w:tcW w:w="2496" w:type="dxa"/>
          </w:tcPr>
          <w:p w14:paraId="2E1D0AA4" w14:textId="77777777" w:rsidR="004041B3" w:rsidRDefault="00000000">
            <w:pPr>
              <w:pStyle w:val="TableParagraph"/>
              <w:spacing w:before="0"/>
              <w:ind w:left="111" w:right="88"/>
              <w:rPr>
                <w:i/>
                <w:sz w:val="20"/>
              </w:rPr>
            </w:pPr>
            <w:r>
              <w:rPr>
                <w:b/>
              </w:rPr>
              <w:t>Ethics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Responsibility </w:t>
            </w:r>
            <w:r>
              <w:rPr>
                <w:i/>
                <w:sz w:val="20"/>
              </w:rPr>
              <w:t>A scholarly teacher demonstrates ethical and responsible teaching practices centered on intellectual honesty, the development and empowerment of students, and equity and inclusion.</w:t>
            </w:r>
          </w:p>
        </w:tc>
        <w:tc>
          <w:tcPr>
            <w:tcW w:w="2701" w:type="dxa"/>
          </w:tcPr>
          <w:p w14:paraId="2B2E05AE" w14:textId="77777777" w:rsidR="004041B3" w:rsidRDefault="00000000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Conveys disciplinary knowledge with accuracy and honesty. Considers individual student characteristics and developmental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guide instruction. Creates welcoming and inclusive learning environments grounded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equity and inclusion.</w:t>
            </w:r>
          </w:p>
        </w:tc>
        <w:tc>
          <w:tcPr>
            <w:tcW w:w="2921" w:type="dxa"/>
          </w:tcPr>
          <w:p w14:paraId="1F9C9E5C" w14:textId="77777777" w:rsidR="004041B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Frames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learning practices as honest and responsible intellectual inquiry. Adjusts and adapts instructional design to fit learner needs and circumstances.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Participates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 dialogue with colleagues about policies and practices that reflect a commitment to</w:t>
            </w:r>
          </w:p>
          <w:p w14:paraId="5673E119" w14:textId="77777777" w:rsidR="004041B3" w:rsidRDefault="00000000">
            <w:pPr>
              <w:pStyle w:val="TableParagraph"/>
              <w:spacing w:before="0" w:line="223" w:lineRule="exact"/>
              <w:ind w:right="0"/>
              <w:rPr>
                <w:sz w:val="20"/>
              </w:rPr>
            </w:pPr>
            <w:r>
              <w:rPr>
                <w:sz w:val="20"/>
              </w:rPr>
              <w:t>equity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inclusion.</w:t>
            </w:r>
          </w:p>
        </w:tc>
        <w:tc>
          <w:tcPr>
            <w:tcW w:w="3060" w:type="dxa"/>
          </w:tcPr>
          <w:p w14:paraId="368F6655" w14:textId="77777777" w:rsidR="004041B3" w:rsidRDefault="00000000">
            <w:pPr>
              <w:pStyle w:val="TableParagraph"/>
              <w:ind w:left="131" w:right="77"/>
              <w:rPr>
                <w:sz w:val="20"/>
              </w:rPr>
            </w:pPr>
            <w:r>
              <w:rPr>
                <w:sz w:val="20"/>
              </w:rPr>
              <w:t>Requires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intellectual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honesty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 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career. Leads conversations about advancing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development with others responsible for same. Fosters collaboration among students and colleagues that allows them to practice and advance equity and inclusion. Shares</w:t>
            </w:r>
          </w:p>
          <w:p w14:paraId="36559416" w14:textId="77777777" w:rsidR="004041B3" w:rsidRDefault="00000000">
            <w:pPr>
              <w:pStyle w:val="TableParagraph"/>
              <w:spacing w:before="0" w:line="223" w:lineRule="exact"/>
              <w:ind w:left="131" w:right="0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practices.</w:t>
            </w:r>
          </w:p>
        </w:tc>
      </w:tr>
      <w:tr w:rsidR="004041B3" w14:paraId="793383A4" w14:textId="77777777" w:rsidTr="00B3296A">
        <w:trPr>
          <w:trHeight w:val="2271"/>
        </w:trPr>
        <w:tc>
          <w:tcPr>
            <w:tcW w:w="2496" w:type="dxa"/>
          </w:tcPr>
          <w:p w14:paraId="15E6E59E" w14:textId="77777777" w:rsidR="004041B3" w:rsidRDefault="00000000">
            <w:pPr>
              <w:pStyle w:val="TableParagraph"/>
              <w:ind w:left="111" w:right="192"/>
              <w:rPr>
                <w:i/>
                <w:sz w:val="20"/>
              </w:rPr>
            </w:pPr>
            <w:r>
              <w:rPr>
                <w:b/>
                <w:spacing w:val="-2"/>
              </w:rPr>
              <w:t xml:space="preserve">Subject-Matter </w:t>
            </w:r>
            <w:r>
              <w:rPr>
                <w:b/>
              </w:rPr>
              <w:t>Expertise and Pedagogical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Knowledge </w:t>
            </w:r>
            <w:r>
              <w:rPr>
                <w:i/>
                <w:sz w:val="20"/>
              </w:rPr>
              <w:t>A scholarly teacher maintains a high level of proficiency in subject- matter expertise and</w:t>
            </w:r>
          </w:p>
          <w:p w14:paraId="5603A62E" w14:textId="77777777" w:rsidR="004041B3" w:rsidRDefault="00000000">
            <w:pPr>
              <w:pStyle w:val="TableParagraph"/>
              <w:spacing w:before="0" w:line="240" w:lineRule="atLeast"/>
              <w:ind w:left="111" w:right="0"/>
              <w:rPr>
                <w:i/>
                <w:sz w:val="20"/>
              </w:rPr>
            </w:pPr>
            <w:proofErr w:type="gramStart"/>
            <w:r>
              <w:rPr>
                <w:i/>
                <w:spacing w:val="-2"/>
                <w:sz w:val="20"/>
              </w:rPr>
              <w:t>pedagogically-related</w:t>
            </w:r>
            <w:proofErr w:type="gramEnd"/>
            <w:r>
              <w:rPr>
                <w:i/>
                <w:spacing w:val="-2"/>
                <w:sz w:val="20"/>
              </w:rPr>
              <w:t xml:space="preserve"> knowledge</w:t>
            </w:r>
          </w:p>
        </w:tc>
        <w:tc>
          <w:tcPr>
            <w:tcW w:w="2701" w:type="dxa"/>
          </w:tcPr>
          <w:p w14:paraId="650B0CFF" w14:textId="77777777" w:rsidR="004041B3" w:rsidRDefault="0000000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Maintains current content knowledge in the discipline. Organizes course content with a view to the history, context, focus, and significance of the subject. Establishes familiarity with evidence-based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921" w:type="dxa"/>
          </w:tcPr>
          <w:p w14:paraId="73FE8E1E" w14:textId="77777777" w:rsidR="004041B3" w:rsidRDefault="00000000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Situates coursework within current issues in the field. Uses evidence-based principles of learning to promote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students’ conceptual understanding and retention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of course </w:t>
            </w:r>
            <w:r>
              <w:rPr>
                <w:spacing w:val="-2"/>
                <w:sz w:val="20"/>
              </w:rPr>
              <w:t>content.</w:t>
            </w:r>
          </w:p>
        </w:tc>
        <w:tc>
          <w:tcPr>
            <w:tcW w:w="3060" w:type="dxa"/>
          </w:tcPr>
          <w:p w14:paraId="079EFBEE" w14:textId="77777777" w:rsidR="004041B3" w:rsidRDefault="00000000">
            <w:pPr>
              <w:pStyle w:val="TableParagraph"/>
              <w:ind w:left="131" w:right="78"/>
              <w:rPr>
                <w:sz w:val="20"/>
              </w:rPr>
            </w:pPr>
            <w:r>
              <w:rPr>
                <w:sz w:val="20"/>
              </w:rPr>
              <w:t>Makes discipline-specific inquiry a central part of all aspects of a course. Fosters an appreciation of inquiry as a valuable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Disseminates effective approaches to teaching in a discipline-specific </w:t>
            </w:r>
            <w:r>
              <w:rPr>
                <w:spacing w:val="-2"/>
                <w:sz w:val="20"/>
              </w:rPr>
              <w:t>context.</w:t>
            </w:r>
          </w:p>
        </w:tc>
      </w:tr>
    </w:tbl>
    <w:p w14:paraId="484E34E5" w14:textId="77777777" w:rsidR="00563AE1" w:rsidRDefault="00563AE1"/>
    <w:sectPr w:rsidR="00563AE1">
      <w:type w:val="continuous"/>
      <w:pgSz w:w="12240" w:h="15840"/>
      <w:pgMar w:top="86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1B3"/>
    <w:rsid w:val="004041B3"/>
    <w:rsid w:val="00563AE1"/>
    <w:rsid w:val="00B3296A"/>
    <w:rsid w:val="00F3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62E3"/>
  <w15:docId w15:val="{E845E4DB-F653-4D8D-844A-45B5EC6C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9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32" w:right="109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309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B329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Contino</dc:creator>
  <cp:lastModifiedBy>S Rao, Anusha</cp:lastModifiedBy>
  <cp:revision>3</cp:revision>
  <dcterms:created xsi:type="dcterms:W3CDTF">2023-12-05T16:25:00Z</dcterms:created>
  <dcterms:modified xsi:type="dcterms:W3CDTF">2023-12-05T16:37:00Z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for Microsoft 365</vt:lpwstr>
  </property>
</Properties>
</file>